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C9" w:rsidRDefault="004752C9" w:rsidP="004752C9">
      <w:pPr>
        <w:ind w:right="1325"/>
        <w:rPr>
          <w:rFonts w:ascii="StobiSerif Regular" w:hAnsi="StobiSerif Regular" w:cs="Arial"/>
          <w:b/>
          <w:noProof/>
          <w:sz w:val="16"/>
          <w:szCs w:val="16"/>
          <w:lang w:val="mk-MK" w:eastAsia="mk-MK"/>
        </w:rPr>
      </w:pPr>
    </w:p>
    <w:p w:rsidR="004752C9" w:rsidRDefault="004752C9" w:rsidP="004752C9">
      <w:pPr>
        <w:ind w:left="1276" w:right="1325"/>
        <w:rPr>
          <w:rFonts w:ascii="StobiSerif Regular" w:hAnsi="StobiSerif Regular" w:cs="Arial"/>
          <w:b/>
          <w:noProof/>
          <w:sz w:val="16"/>
          <w:szCs w:val="16"/>
          <w:lang w:val="mk-MK" w:eastAsia="mk-MK"/>
        </w:rPr>
      </w:pPr>
    </w:p>
    <w:p w:rsidR="004752C9" w:rsidRDefault="004752C9" w:rsidP="004752C9">
      <w:pPr>
        <w:ind w:left="1276" w:right="1325"/>
        <w:jc w:val="center"/>
        <w:rPr>
          <w:rFonts w:ascii="StobiSerif Regular" w:hAnsi="StobiSerif Regular" w:cs="Arial"/>
          <w:sz w:val="16"/>
          <w:szCs w:val="16"/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4C447FD" wp14:editId="790A756C">
            <wp:simplePos x="0" y="0"/>
            <wp:positionH relativeFrom="column">
              <wp:posOffset>93980</wp:posOffset>
            </wp:positionH>
            <wp:positionV relativeFrom="paragraph">
              <wp:posOffset>-12700</wp:posOffset>
            </wp:positionV>
            <wp:extent cx="737235" cy="913765"/>
            <wp:effectExtent l="0" t="0" r="5715" b="635"/>
            <wp:wrapNone/>
            <wp:docPr id="11367688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17519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obiSerif Regular" w:hAnsi="StobiSerif Regular" w:cs="Arial"/>
          <w:b/>
          <w:noProof/>
          <w:sz w:val="16"/>
          <w:szCs w:val="16"/>
          <w:lang w:val="mk-MK" w:eastAsia="mk-MK"/>
        </w:rPr>
        <w:t>РЕПУБЛИКА СЕВЕРНА МАКЕДОНИЈА</w:t>
      </w:r>
    </w:p>
    <w:p w:rsidR="004752C9" w:rsidRDefault="004752C9" w:rsidP="004752C9">
      <w:pPr>
        <w:ind w:left="1276" w:right="1325"/>
        <w:jc w:val="center"/>
        <w:rPr>
          <w:rFonts w:ascii="StobiSerif Regular" w:hAnsi="StobiSerif Regular" w:cs="Arial"/>
          <w:b/>
          <w:sz w:val="16"/>
          <w:szCs w:val="16"/>
          <w:lang w:val="mk-MK"/>
        </w:rPr>
      </w:pPr>
      <w:r>
        <w:rPr>
          <w:rFonts w:ascii="StobiSerif Regular" w:hAnsi="StobiSerif Regular" w:cs="Arial"/>
          <w:b/>
          <w:sz w:val="16"/>
          <w:szCs w:val="16"/>
          <w:lang w:val="mk-MK"/>
        </w:rPr>
        <w:t>ОПШТИНА ДОЈРАН</w:t>
      </w:r>
    </w:p>
    <w:p w:rsidR="004752C9" w:rsidRDefault="004752C9" w:rsidP="004752C9">
      <w:pPr>
        <w:ind w:left="1276" w:right="1325"/>
        <w:jc w:val="center"/>
        <w:rPr>
          <w:rFonts w:ascii="Macedonian Becker" w:hAnsi="Macedonian Becker" w:cs="Arial"/>
          <w:b/>
          <w:i/>
          <w:sz w:val="16"/>
          <w:szCs w:val="16"/>
          <w:lang w:val="mk-MK"/>
        </w:rPr>
      </w:pPr>
      <w:r>
        <w:rPr>
          <w:rFonts w:ascii="Cambria" w:hAnsi="Cambria" w:cs="Cambria"/>
          <w:b/>
          <w:i/>
          <w:sz w:val="16"/>
          <w:szCs w:val="16"/>
          <w:lang w:val="mk-MK"/>
        </w:rPr>
        <w:t>Градоначалник</w:t>
      </w:r>
    </w:p>
    <w:p w:rsidR="004752C9" w:rsidRDefault="004752C9" w:rsidP="004752C9">
      <w:pPr>
        <w:ind w:left="2268" w:right="1325"/>
        <w:rPr>
          <w:rFonts w:ascii="StobiSerif Regular" w:hAnsi="StobiSerif Regular" w:cs="Arial"/>
          <w:b/>
          <w:sz w:val="16"/>
          <w:szCs w:val="16"/>
          <w:lang w:val="de-DE"/>
        </w:rPr>
      </w:pPr>
      <w:r>
        <w:rPr>
          <w:rFonts w:ascii="StobiSerif Regular" w:hAnsi="StobiSerif Regular" w:cs="Arial"/>
          <w:b/>
          <w:sz w:val="16"/>
          <w:szCs w:val="16"/>
          <w:lang w:val="mk-MK"/>
        </w:rPr>
        <w:t xml:space="preserve">                     Кеј 5-ти Ноември бр.1,  Стар Дојран </w:t>
      </w:r>
      <w:r>
        <w:rPr>
          <w:rFonts w:ascii="StobiSerif Regular" w:hAnsi="StobiSerif Regular" w:cs="Arial"/>
          <w:b/>
          <w:sz w:val="16"/>
          <w:szCs w:val="16"/>
          <w:lang w:val="de-DE"/>
        </w:rPr>
        <w:t>1487</w:t>
      </w:r>
    </w:p>
    <w:p w:rsidR="004752C9" w:rsidRPr="00C604E5" w:rsidRDefault="004752C9" w:rsidP="004752C9">
      <w:pPr>
        <w:ind w:left="2268" w:right="1325"/>
        <w:rPr>
          <w:rFonts w:ascii="StobiSerif Regular" w:hAnsi="StobiSerif Regular" w:cs="Arial"/>
          <w:b/>
          <w:sz w:val="16"/>
          <w:szCs w:val="16"/>
          <w:lang w:val="mk-MK"/>
        </w:rPr>
      </w:pPr>
      <w:r>
        <w:rPr>
          <w:rFonts w:ascii="StobiSerif Regular" w:hAnsi="StobiSerif Regular" w:cs="Arial"/>
          <w:b/>
          <w:sz w:val="16"/>
          <w:szCs w:val="16"/>
          <w:lang w:val="mk-MK"/>
        </w:rPr>
        <w:t xml:space="preserve">                               Тел.факс</w:t>
      </w:r>
      <w:r w:rsidRPr="00C604E5">
        <w:rPr>
          <w:rFonts w:ascii="StobiSerif Regular" w:hAnsi="StobiSerif Regular" w:cs="Arial"/>
          <w:b/>
          <w:sz w:val="16"/>
          <w:szCs w:val="16"/>
          <w:lang w:val="mk-MK"/>
        </w:rPr>
        <w:t>: +389 34 225 278</w:t>
      </w:r>
    </w:p>
    <w:p w:rsidR="004752C9" w:rsidRPr="00C604E5" w:rsidRDefault="004752C9" w:rsidP="004752C9">
      <w:pPr>
        <w:ind w:left="2268" w:right="1325"/>
        <w:rPr>
          <w:rFonts w:ascii="StobiSerif Regular" w:hAnsi="StobiSerif Regular" w:cs="Arial"/>
          <w:b/>
          <w:sz w:val="16"/>
          <w:szCs w:val="16"/>
          <w:lang w:val="mk-MK"/>
        </w:rPr>
      </w:pPr>
      <w:r>
        <w:rPr>
          <w:rFonts w:ascii="StobiSerif Regular" w:hAnsi="StobiSerif Regular" w:cs="Arial"/>
          <w:b/>
          <w:sz w:val="16"/>
          <w:szCs w:val="16"/>
          <w:lang w:val="mk-MK"/>
        </w:rPr>
        <w:t xml:space="preserve">                                   </w:t>
      </w:r>
      <w:r>
        <w:rPr>
          <w:rFonts w:ascii="StobiSerif Regular" w:hAnsi="StobiSerif Regular" w:cs="Arial"/>
          <w:b/>
          <w:sz w:val="16"/>
          <w:szCs w:val="16"/>
          <w:lang w:val="it-IT"/>
        </w:rPr>
        <w:t xml:space="preserve">e-mail:   </w:t>
      </w:r>
      <w:hyperlink r:id="rId5" w:history="1">
        <w:r>
          <w:rPr>
            <w:rStyle w:val="Hyperlink"/>
            <w:rFonts w:ascii="StobiSerif Regular" w:hAnsi="StobiSerif Regular" w:cs="Arial"/>
            <w:b/>
            <w:sz w:val="16"/>
            <w:szCs w:val="16"/>
            <w:lang w:val="it-IT"/>
          </w:rPr>
          <w:t>dojran@t.mk</w:t>
        </w:r>
      </w:hyperlink>
    </w:p>
    <w:p w:rsidR="004752C9" w:rsidRDefault="004752C9" w:rsidP="004752C9">
      <w:pPr>
        <w:ind w:right="1325"/>
        <w:rPr>
          <w:rFonts w:ascii="StobiSerif Regular" w:hAnsi="StobiSerif Regular" w:cs="Arial"/>
          <w:b/>
          <w:i/>
          <w:sz w:val="16"/>
          <w:szCs w:val="16"/>
          <w:lang w:val="mk-MK"/>
        </w:rPr>
      </w:pPr>
    </w:p>
    <w:p w:rsidR="004752C9" w:rsidRDefault="004752C9" w:rsidP="004752C9">
      <w:pPr>
        <w:pBdr>
          <w:bottom w:val="single" w:sz="12" w:space="1" w:color="auto"/>
        </w:pBdr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      Бр. 12-341/1                                                                                                        05.03.2024 год.</w:t>
      </w:r>
    </w:p>
    <w:p w:rsidR="004752C9" w:rsidRPr="00C604E5" w:rsidRDefault="004752C9" w:rsidP="004752C9">
      <w:pPr>
        <w:rPr>
          <w:lang w:val="mk-MK"/>
        </w:rPr>
      </w:pPr>
    </w:p>
    <w:p w:rsidR="004752C9" w:rsidRDefault="004752C9" w:rsidP="004752C9">
      <w:pPr>
        <w:jc w:val="both"/>
        <w:rPr>
          <w:rFonts w:ascii="LuzSans-Book" w:hAnsi="LuzSans-Book" w:cstheme="minorHAnsi"/>
          <w:bCs/>
          <w:lang w:val="mk-MK"/>
        </w:rPr>
      </w:pPr>
    </w:p>
    <w:p w:rsidR="004752C9" w:rsidRDefault="004752C9" w:rsidP="004752C9">
      <w:pPr>
        <w:jc w:val="both"/>
        <w:rPr>
          <w:rFonts w:ascii="LuzSans-Book" w:hAnsi="LuzSans-Book" w:cstheme="minorHAnsi"/>
          <w:bCs/>
          <w:lang w:val="mk-MK"/>
        </w:rPr>
      </w:pPr>
    </w:p>
    <w:p w:rsidR="004752C9" w:rsidRDefault="004752C9" w:rsidP="004752C9">
      <w:pPr>
        <w:jc w:val="both"/>
        <w:rPr>
          <w:rFonts w:ascii="LuzSans-Book" w:hAnsi="LuzSans-Book" w:cstheme="minorHAnsi"/>
          <w:bCs/>
          <w:lang w:val="mk-MK"/>
        </w:rPr>
      </w:pPr>
      <w:r>
        <w:rPr>
          <w:rFonts w:ascii="LuzSans-Book" w:hAnsi="LuzSans-Book" w:cstheme="minorHAnsi"/>
          <w:bCs/>
          <w:lang w:val="mk-MK"/>
        </w:rPr>
        <w:t>Врз основа на член 69 од Законот за животна средина (Сл. Весник на Република Македонија, бр. 53/2005, 81/2005, 24/2007, 159/2008, 83/2009, 48/2010, 124/2010, 51/2011, 123/2012, 187/2013, 42/2014, 44/2015, 129/2015, 39/2016, 99/2018 и 171/2022), како и член 3 од Уредбата за учество на јавноста во текот на изрботката на прописи и други акти, како и програми од областа на животната средина (Сл. Весник на Република Македонија, бр. 147/2008), Градоначалникот на Општина Дојран организира:</w:t>
      </w:r>
    </w:p>
    <w:p w:rsidR="004752C9" w:rsidRDefault="004752C9" w:rsidP="004752C9">
      <w:pPr>
        <w:rPr>
          <w:rFonts w:ascii="LuzSans-Book" w:hAnsi="LuzSans-Book" w:cstheme="minorHAnsi"/>
          <w:bCs/>
          <w:lang w:val="mk-MK"/>
        </w:rPr>
      </w:pPr>
    </w:p>
    <w:p w:rsidR="004752C9" w:rsidRDefault="004752C9" w:rsidP="004752C9">
      <w:pPr>
        <w:jc w:val="center"/>
        <w:rPr>
          <w:rFonts w:ascii="LuzSans-Book" w:hAnsi="LuzSans-Book" w:cstheme="minorHAnsi"/>
          <w:bCs/>
          <w:lang w:val="mk-MK"/>
        </w:rPr>
      </w:pPr>
      <w:r>
        <w:rPr>
          <w:rFonts w:ascii="LuzSans-Book" w:hAnsi="LuzSans-Book" w:cstheme="minorHAnsi"/>
          <w:bCs/>
          <w:lang w:val="mk-MK"/>
        </w:rPr>
        <w:t>ЈАВНА РАСПРАВА ПО</w:t>
      </w:r>
    </w:p>
    <w:p w:rsidR="004752C9" w:rsidRDefault="004752C9" w:rsidP="004752C9">
      <w:pPr>
        <w:jc w:val="center"/>
        <w:rPr>
          <w:rFonts w:ascii="LuzSans-Book" w:hAnsi="LuzSans-Book" w:cstheme="minorHAnsi"/>
          <w:bCs/>
          <w:lang w:val="mk-MK"/>
        </w:rPr>
      </w:pPr>
      <w:r w:rsidRPr="001A4034">
        <w:rPr>
          <w:rFonts w:ascii="LuzSans-Book" w:hAnsi="LuzSans-Book" w:cstheme="minorHAnsi"/>
          <w:bCs/>
          <w:lang w:val="mk-MK"/>
        </w:rPr>
        <w:t>Нацрт Извештај</w:t>
      </w:r>
      <w:r>
        <w:rPr>
          <w:rFonts w:ascii="LuzSans-Book" w:hAnsi="LuzSans-Book" w:cstheme="minorHAnsi"/>
          <w:bCs/>
          <w:lang w:val="mk-MK"/>
        </w:rPr>
        <w:t>от</w:t>
      </w:r>
      <w:r w:rsidRPr="001A4034">
        <w:rPr>
          <w:rFonts w:ascii="LuzSans-Book" w:hAnsi="LuzSans-Book" w:cstheme="minorHAnsi"/>
          <w:bCs/>
          <w:lang w:val="mk-MK"/>
        </w:rPr>
        <w:t xml:space="preserve"> за стратегиска оцена на животната средина за Урбанистички проект вон опфат на Урбанистички план</w:t>
      </w:r>
      <w:r>
        <w:rPr>
          <w:rFonts w:ascii="LuzSans-Book" w:hAnsi="LuzSans-Book" w:cstheme="minorHAnsi"/>
          <w:bCs/>
          <w:lang w:val="mk-MK"/>
        </w:rPr>
        <w:t xml:space="preserve"> </w:t>
      </w:r>
      <w:r w:rsidRPr="001A4034">
        <w:rPr>
          <w:rFonts w:ascii="LuzSans-Book" w:hAnsi="LuzSans-Book" w:cstheme="minorHAnsi"/>
          <w:bCs/>
          <w:lang w:val="mk-MK"/>
        </w:rPr>
        <w:t>за намена Е1.6. Канализациски инфраструктури: пречистителна станица, на КП бр. 295, дел од КП бр. 458/2, дел од КП бр. 457, дел од КП бр. 456/1 и КП бр. 456/2, КП бр. 458/1, КО Нов Дојран вонград, Општина Дојран</w:t>
      </w:r>
    </w:p>
    <w:p w:rsidR="004752C9" w:rsidRDefault="004752C9" w:rsidP="004752C9">
      <w:pPr>
        <w:jc w:val="center"/>
        <w:rPr>
          <w:rFonts w:ascii="LuzSans-Book" w:hAnsi="LuzSans-Book" w:cstheme="minorHAnsi"/>
          <w:bCs/>
          <w:lang w:val="mk-MK"/>
        </w:rPr>
      </w:pPr>
    </w:p>
    <w:p w:rsidR="004752C9" w:rsidRDefault="004752C9" w:rsidP="004752C9">
      <w:pPr>
        <w:spacing w:before="120" w:after="120"/>
        <w:rPr>
          <w:rFonts w:ascii="LuzSans-Book" w:hAnsi="LuzSans-Book" w:cstheme="minorHAnsi"/>
          <w:bCs/>
          <w:lang w:val="mk-MK"/>
        </w:rPr>
      </w:pPr>
      <w:r>
        <w:rPr>
          <w:rFonts w:ascii="LuzSans-Book" w:hAnsi="LuzSans-Book" w:cstheme="minorHAnsi"/>
          <w:bCs/>
          <w:lang w:val="mk-MK"/>
        </w:rPr>
        <w:t>Се известуваат граѓаните, правните и физички лица дека се организира Јавна расправа за Н</w:t>
      </w:r>
      <w:r w:rsidRPr="001A4034">
        <w:rPr>
          <w:rFonts w:ascii="LuzSans-Book" w:hAnsi="LuzSans-Book" w:cstheme="minorHAnsi"/>
          <w:bCs/>
          <w:lang w:val="mk-MK"/>
        </w:rPr>
        <w:t>ацрт Извештај</w:t>
      </w:r>
      <w:r>
        <w:rPr>
          <w:rFonts w:ascii="LuzSans-Book" w:hAnsi="LuzSans-Book" w:cstheme="minorHAnsi"/>
          <w:bCs/>
          <w:lang w:val="mk-MK"/>
        </w:rPr>
        <w:t>от</w:t>
      </w:r>
      <w:r w:rsidRPr="001A4034">
        <w:rPr>
          <w:rFonts w:ascii="LuzSans-Book" w:hAnsi="LuzSans-Book" w:cstheme="minorHAnsi"/>
          <w:bCs/>
          <w:lang w:val="mk-MK"/>
        </w:rPr>
        <w:t xml:space="preserve"> за стратегиска оцена на животната средина за Урбанистички проект вон опфат на Урбанистички план</w:t>
      </w:r>
      <w:r>
        <w:rPr>
          <w:rFonts w:ascii="LuzSans-Book" w:hAnsi="LuzSans-Book" w:cstheme="minorHAnsi"/>
          <w:bCs/>
          <w:lang w:val="mk-MK"/>
        </w:rPr>
        <w:t xml:space="preserve"> </w:t>
      </w:r>
      <w:r w:rsidRPr="001A4034">
        <w:rPr>
          <w:rFonts w:ascii="LuzSans-Book" w:hAnsi="LuzSans-Book" w:cstheme="minorHAnsi"/>
          <w:bCs/>
          <w:lang w:val="mk-MK"/>
        </w:rPr>
        <w:t>за намена Е1.6. Канализациски инфраструктури: пречистителна станица, на КП бр. 295, дел од КП бр. 458/2, дел од КП бр. 457, дел од КП бр. 456/1 и КП бр. 456/2, КП бр. 458/1, КО Нов Дојран вонград, Општина Дојран</w:t>
      </w:r>
      <w:r>
        <w:rPr>
          <w:rFonts w:ascii="LuzSans-Book" w:hAnsi="LuzSans-Book" w:cstheme="minorHAnsi"/>
          <w:bCs/>
          <w:lang w:val="mk-MK"/>
        </w:rPr>
        <w:t>.</w:t>
      </w:r>
    </w:p>
    <w:p w:rsidR="004752C9" w:rsidRDefault="004752C9" w:rsidP="004752C9">
      <w:pPr>
        <w:spacing w:before="120" w:after="120"/>
        <w:jc w:val="both"/>
        <w:rPr>
          <w:rFonts w:ascii="LuzSans-Book" w:hAnsi="LuzSans-Book" w:cstheme="minorHAnsi"/>
          <w:bCs/>
          <w:lang w:val="mk-MK"/>
        </w:rPr>
      </w:pPr>
      <w:r>
        <w:rPr>
          <w:rFonts w:ascii="LuzSans-Book" w:hAnsi="LuzSans-Book" w:cstheme="minorHAnsi"/>
          <w:bCs/>
          <w:lang w:val="mk-MK"/>
        </w:rPr>
        <w:t xml:space="preserve">Јавната расправа за Извештајот за стратегиска оцена на </w:t>
      </w:r>
      <w:r w:rsidRPr="001A4034">
        <w:rPr>
          <w:rFonts w:ascii="LuzSans-Book" w:hAnsi="LuzSans-Book" w:cstheme="minorHAnsi"/>
          <w:bCs/>
          <w:lang w:val="mk-MK"/>
        </w:rPr>
        <w:t>животната средина</w:t>
      </w:r>
      <w:r>
        <w:rPr>
          <w:rFonts w:ascii="LuzSans-Book" w:hAnsi="LuzSans-Book" w:cstheme="minorHAnsi"/>
          <w:bCs/>
          <w:lang w:val="mk-MK"/>
        </w:rPr>
        <w:t xml:space="preserve"> ќе се одржи на ден 11.03.2024 година (понеделник) </w:t>
      </w:r>
      <w:r w:rsidRPr="005F5C3D">
        <w:rPr>
          <w:rFonts w:ascii="LuzSans-Book" w:hAnsi="LuzSans-Book" w:cstheme="minorHAnsi"/>
          <w:bCs/>
          <w:lang w:val="mk-MK"/>
        </w:rPr>
        <w:t>во 11:00 часот</w:t>
      </w:r>
      <w:r>
        <w:rPr>
          <w:rFonts w:ascii="LuzSans-Book" w:hAnsi="LuzSans-Book" w:cstheme="minorHAnsi"/>
          <w:bCs/>
          <w:lang w:val="mk-MK"/>
        </w:rPr>
        <w:t xml:space="preserve">, </w:t>
      </w:r>
      <w:r w:rsidRPr="00C604E5">
        <w:rPr>
          <w:rFonts w:ascii="LuzSans-Book" w:hAnsi="LuzSans-Book" w:cstheme="minorHAnsi"/>
          <w:bCs/>
          <w:lang w:val="mk-MK"/>
        </w:rPr>
        <w:t>во Салата на Општина Дојран</w:t>
      </w:r>
      <w:r>
        <w:rPr>
          <w:rFonts w:ascii="LuzSans-Book" w:hAnsi="LuzSans-Book" w:cstheme="minorHAnsi"/>
          <w:bCs/>
          <w:lang w:val="mk-MK"/>
        </w:rPr>
        <w:t>.</w:t>
      </w:r>
    </w:p>
    <w:p w:rsidR="004752C9" w:rsidRDefault="004752C9" w:rsidP="004752C9">
      <w:pPr>
        <w:spacing w:before="120" w:after="120"/>
        <w:jc w:val="both"/>
        <w:rPr>
          <w:rFonts w:ascii="LuzSans-Book" w:hAnsi="LuzSans-Book" w:cstheme="minorHAnsi"/>
          <w:bCs/>
          <w:lang w:val="mk-MK"/>
        </w:rPr>
      </w:pPr>
      <w:r w:rsidRPr="001A4034">
        <w:rPr>
          <w:rFonts w:ascii="LuzSans-Book" w:hAnsi="LuzSans-Book" w:cstheme="minorHAnsi"/>
          <w:bCs/>
          <w:lang w:val="mk-MK"/>
        </w:rPr>
        <w:t>Предмет на овој урбанистички проект е формирање на градежна парцела 1 со намена Е1.6. Канализациски инфраструктури: пречистителна станица, на КП бр. 295, дел од КП бр. 458/2, дел од КП бр. 457, дел од КП бр. 456/1 и КП бр. 456/2, КП бр. 458/1, КО Нов Дојран вонград, Општина Дојран со по</w:t>
      </w:r>
      <w:r>
        <w:rPr>
          <w:rFonts w:ascii="LuzSans-Book" w:hAnsi="LuzSans-Book" w:cstheme="minorHAnsi"/>
          <w:bCs/>
          <w:lang w:val="mk-MK"/>
        </w:rPr>
        <w:t>требните комплементарни намени:</w:t>
      </w:r>
    </w:p>
    <w:p w:rsidR="004752C9" w:rsidRPr="00C604E5" w:rsidRDefault="004752C9" w:rsidP="004752C9">
      <w:pPr>
        <w:spacing w:before="120" w:after="120"/>
        <w:rPr>
          <w:rFonts w:ascii="LuzSans-Book" w:hAnsi="LuzSans-Book" w:cs="Calibri Light"/>
          <w:szCs w:val="18"/>
          <w:lang w:val="mk-MK"/>
        </w:rPr>
      </w:pPr>
      <w:r w:rsidRPr="00C604E5">
        <w:rPr>
          <w:rFonts w:ascii="LuzSans-Book" w:hAnsi="LuzSans-Book" w:cs="Calibri Light"/>
          <w:szCs w:val="18"/>
          <w:lang w:val="mk-MK"/>
        </w:rPr>
        <w:t>Е1.6. Канализациски инфраструктури: пречистителна станица со потребните комплементарни намени:</w:t>
      </w:r>
    </w:p>
    <w:p w:rsidR="004752C9" w:rsidRPr="00C604E5" w:rsidRDefault="004752C9" w:rsidP="004752C9">
      <w:pPr>
        <w:spacing w:before="120" w:after="120"/>
        <w:rPr>
          <w:rFonts w:ascii="LuzSans-Book" w:hAnsi="LuzSans-Book" w:cs="Calibri Light"/>
          <w:szCs w:val="18"/>
          <w:lang w:val="mk-MK"/>
        </w:rPr>
      </w:pPr>
      <w:r w:rsidRPr="00C604E5">
        <w:rPr>
          <w:rFonts w:ascii="LuzSans-Book" w:hAnsi="LuzSans-Book" w:cs="Calibri Light"/>
          <w:szCs w:val="18"/>
          <w:lang w:val="mk-MK"/>
        </w:rPr>
        <w:t>Е1.1. Сообраќајни патни инфраструктури</w:t>
      </w:r>
    </w:p>
    <w:p w:rsidR="004752C9" w:rsidRPr="00C604E5" w:rsidRDefault="004752C9" w:rsidP="004752C9">
      <w:pPr>
        <w:spacing w:before="120" w:after="120"/>
        <w:rPr>
          <w:rFonts w:ascii="LuzSans-Book" w:hAnsi="LuzSans-Book" w:cs="Calibri Light"/>
          <w:szCs w:val="18"/>
          <w:lang w:val="mk-MK"/>
        </w:rPr>
      </w:pPr>
      <w:r w:rsidRPr="00C604E5">
        <w:rPr>
          <w:rFonts w:ascii="LuzSans-Book" w:hAnsi="LuzSans-Book" w:cs="Calibri Light"/>
          <w:szCs w:val="18"/>
          <w:lang w:val="mk-MK"/>
        </w:rPr>
        <w:t xml:space="preserve">Е1.8. Инфраструктури за пренос на електрична енергија </w:t>
      </w:r>
    </w:p>
    <w:p w:rsidR="004752C9" w:rsidRPr="00C604E5" w:rsidRDefault="004752C9" w:rsidP="004752C9">
      <w:pPr>
        <w:spacing w:before="120" w:after="120"/>
        <w:rPr>
          <w:rFonts w:ascii="LuzSans-Book" w:hAnsi="LuzSans-Book" w:cs="Calibri Light"/>
          <w:szCs w:val="18"/>
          <w:lang w:val="mk-MK"/>
        </w:rPr>
      </w:pPr>
      <w:r w:rsidRPr="00C604E5">
        <w:rPr>
          <w:rFonts w:ascii="LuzSans-Book" w:hAnsi="LuzSans-Book" w:cs="Calibri Light"/>
          <w:szCs w:val="18"/>
          <w:lang w:val="mk-MK"/>
        </w:rPr>
        <w:t xml:space="preserve">Е1.13. Површински соларни и фотоволтаични електрани </w:t>
      </w:r>
    </w:p>
    <w:p w:rsidR="00D039F8" w:rsidRPr="004752C9" w:rsidRDefault="004752C9" w:rsidP="004752C9">
      <w:pPr>
        <w:spacing w:before="120" w:after="120"/>
        <w:rPr>
          <w:rFonts w:ascii="LuzSans-Book" w:hAnsi="LuzSans-Book" w:cs="Calibri Light"/>
          <w:szCs w:val="18"/>
          <w:lang w:val="mk-MK"/>
        </w:rPr>
      </w:pPr>
      <w:r w:rsidRPr="00C604E5">
        <w:rPr>
          <w:rFonts w:ascii="LuzSans-Book" w:hAnsi="LuzSans-Book" w:cs="Calibri Light"/>
          <w:szCs w:val="18"/>
          <w:lang w:val="mk-MK"/>
        </w:rPr>
        <w:t xml:space="preserve">Д2.2. Зелени тампон зони помеѓу некомпатибилни наменски зони </w:t>
      </w:r>
      <w:bookmarkStart w:id="0" w:name="_GoBack"/>
      <w:bookmarkEnd w:id="0"/>
    </w:p>
    <w:sectPr w:rsidR="00D039F8" w:rsidRPr="0047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cedonian Beck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Calibri"/>
    <w:charset w:val="00"/>
    <w:family w:val="auto"/>
    <w:pitch w:val="variable"/>
    <w:sig w:usb0="A00002AF" w:usb1="5000204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C9"/>
    <w:rsid w:val="004752C9"/>
    <w:rsid w:val="00D0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20D1"/>
  <w15:chartTrackingRefBased/>
  <w15:docId w15:val="{CC871086-EB3B-4C6C-BFF0-08B821FE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75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jran@t.m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2024-03-05T13:29:00Z</dcterms:created>
  <dcterms:modified xsi:type="dcterms:W3CDTF">2024-03-05T13:29:00Z</dcterms:modified>
</cp:coreProperties>
</file>